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9B2106" w14:textId="09635786" w:rsidR="005A203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</w:t>
      </w:r>
      <w:r w:rsidR="00A01A7E">
        <w:rPr>
          <w:rFonts w:ascii="Arial" w:hAnsi="Arial" w:cs="Arial"/>
          <w:b/>
          <w:i/>
          <w:sz w:val="16"/>
          <w:szCs w:val="16"/>
          <w:lang w:eastAsia="pl-PL"/>
        </w:rPr>
        <w:t>4</w:t>
      </w:r>
      <w:r>
        <w:rPr>
          <w:rFonts w:ascii="Arial" w:hAnsi="Arial" w:cs="Arial"/>
          <w:b/>
          <w:i/>
          <w:sz w:val="16"/>
          <w:szCs w:val="16"/>
          <w:lang w:eastAsia="pl-PL"/>
        </w:rPr>
        <w:t>.</w:t>
      </w: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 xml:space="preserve"> DO SWZ</w:t>
      </w:r>
    </w:p>
    <w:p w14:paraId="4254326C" w14:textId="672926EF" w:rsidR="005A2033" w:rsidRPr="005A203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331F3639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4F6FEC24" w14:textId="73C82D86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13C30D34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3CDE3B7D" w14:textId="1D568392" w:rsid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B024020" w14:textId="77777777" w:rsidR="005A2033" w:rsidRP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5AC3FBA1" w14:textId="1BC67570" w:rsidR="00877CA9" w:rsidRPr="0056161F" w:rsidRDefault="00C85FD8" w:rsidP="00213973">
      <w:pPr>
        <w:pStyle w:val="Akapitzlist1"/>
        <w:ind w:left="1134" w:hanging="1134"/>
        <w:jc w:val="both"/>
        <w:rPr>
          <w:rFonts w:ascii="Arial" w:hAnsi="Arial" w:cs="Arial"/>
          <w:iCs/>
          <w:sz w:val="18"/>
          <w:szCs w:val="18"/>
          <w:lang w:eastAsia="pl-PL"/>
        </w:rPr>
      </w:pPr>
      <w:r w:rsidRPr="00D53388">
        <w:rPr>
          <w:rFonts w:ascii="Arial" w:hAnsi="Arial" w:cs="Arial"/>
          <w:b/>
          <w:color w:val="000000"/>
          <w:sz w:val="18"/>
          <w:szCs w:val="18"/>
        </w:rPr>
        <w:t xml:space="preserve">Zadanie nr </w:t>
      </w:r>
      <w:r w:rsidR="00A01A7E" w:rsidRPr="00D53388">
        <w:rPr>
          <w:rFonts w:ascii="Arial" w:hAnsi="Arial" w:cs="Arial"/>
          <w:b/>
          <w:color w:val="000000"/>
          <w:sz w:val="18"/>
          <w:szCs w:val="18"/>
        </w:rPr>
        <w:t>4</w:t>
      </w:r>
      <w:r w:rsidRPr="00D53388">
        <w:rPr>
          <w:rFonts w:ascii="Arial" w:hAnsi="Arial" w:cs="Arial"/>
          <w:b/>
          <w:color w:val="000000"/>
          <w:sz w:val="18"/>
          <w:szCs w:val="18"/>
        </w:rPr>
        <w:t>:</w:t>
      </w:r>
      <w:r w:rsidRPr="00710ADA">
        <w:rPr>
          <w:rFonts w:ascii="Arial" w:hAnsi="Arial" w:cs="Arial"/>
          <w:b/>
          <w:sz w:val="18"/>
          <w:szCs w:val="18"/>
        </w:rPr>
        <w:t xml:space="preserve"> </w:t>
      </w:r>
      <w:r w:rsidR="0056161F" w:rsidRPr="0056161F">
        <w:rPr>
          <w:rFonts w:ascii="Arial" w:hAnsi="Arial" w:cs="Arial"/>
          <w:bCs/>
          <w:iCs/>
          <w:sz w:val="18"/>
          <w:szCs w:val="18"/>
        </w:rPr>
        <w:t>Wirtualne laboratorium</w:t>
      </w:r>
      <w:r w:rsidR="00E828E0">
        <w:rPr>
          <w:rFonts w:ascii="Arial" w:hAnsi="Arial" w:cs="Arial"/>
          <w:bCs/>
          <w:iCs/>
          <w:sz w:val="18"/>
          <w:szCs w:val="18"/>
        </w:rPr>
        <w:t xml:space="preserve"> – </w:t>
      </w:r>
      <w:r w:rsidR="0056161F">
        <w:rPr>
          <w:rFonts w:ascii="Arial" w:hAnsi="Arial" w:cs="Arial"/>
          <w:bCs/>
          <w:iCs/>
          <w:sz w:val="18"/>
          <w:szCs w:val="18"/>
        </w:rPr>
        <w:t>dostawa</w:t>
      </w:r>
      <w:r w:rsidR="0056161F" w:rsidRPr="0056161F">
        <w:rPr>
          <w:rFonts w:ascii="Arial" w:hAnsi="Arial" w:cs="Arial"/>
          <w:bCs/>
          <w:iCs/>
          <w:sz w:val="18"/>
          <w:szCs w:val="18"/>
        </w:rPr>
        <w:t xml:space="preserve"> wirtualnego laboratorium pozwalające</w:t>
      </w:r>
      <w:r w:rsidR="0056161F">
        <w:rPr>
          <w:rFonts w:ascii="Arial" w:hAnsi="Arial" w:cs="Arial"/>
          <w:bCs/>
          <w:iCs/>
          <w:sz w:val="18"/>
          <w:szCs w:val="18"/>
        </w:rPr>
        <w:t>go</w:t>
      </w:r>
      <w:r w:rsidR="0056161F" w:rsidRPr="0056161F">
        <w:rPr>
          <w:rFonts w:ascii="Arial" w:hAnsi="Arial" w:cs="Arial"/>
          <w:bCs/>
          <w:iCs/>
          <w:sz w:val="18"/>
          <w:szCs w:val="18"/>
        </w:rPr>
        <w:t xml:space="preserve"> na przeprowadzenie doświadczeń chemicznych w rzeczywistości wirtualnej, w skład którego wchodzą: gogle VR, dwa kontrolery VR, wbudowany komputer z ekranem dotykowym i oprogramowaniem pozwalającym na prowadzenie wirtualnych doświadczeń</w:t>
      </w:r>
    </w:p>
    <w:p w14:paraId="4E2C6475" w14:textId="3CD1AA8E" w:rsidR="0056161F" w:rsidRPr="0056161F" w:rsidRDefault="0056161F" w:rsidP="0056161F">
      <w:pPr>
        <w:rPr>
          <w:rFonts w:ascii="Arial" w:hAnsi="Arial" w:cs="Arial"/>
          <w:sz w:val="18"/>
          <w:szCs w:val="18"/>
        </w:rPr>
      </w:pPr>
      <w:r w:rsidRPr="0056161F">
        <w:rPr>
          <w:rFonts w:ascii="Arial" w:hAnsi="Arial" w:cs="Arial"/>
          <w:sz w:val="18"/>
          <w:szCs w:val="18"/>
        </w:rPr>
        <w:t>Wirtualne laboratorium chemiczne</w:t>
      </w:r>
    </w:p>
    <w:p w14:paraId="41F88C57" w14:textId="6A067993" w:rsidR="00877CA9" w:rsidRDefault="00877CA9" w:rsidP="0056161F">
      <w:pPr>
        <w:pStyle w:val="Akapitzlist"/>
        <w:suppressAutoHyphens w:val="0"/>
        <w:spacing w:after="0"/>
        <w:ind w:left="284"/>
        <w:rPr>
          <w:rFonts w:ascii="Arial" w:hAnsi="Arial" w:cs="Arial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56161F" w:rsidRPr="0056161F" w14:paraId="65DF13C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1367BC" w14:textId="77777777" w:rsidR="0056161F" w:rsidRDefault="0056161F" w:rsidP="0056161F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D9D5A7B" w14:textId="77777777" w:rsidR="0056161F" w:rsidRDefault="0056161F" w:rsidP="0056161F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0072BB9C" w14:textId="3C7F6047" w:rsidR="0056161F" w:rsidRPr="0056161F" w:rsidRDefault="0056161F" w:rsidP="0056161F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D44BAA" w14:textId="77777777" w:rsidR="0056161F" w:rsidRDefault="0056161F" w:rsidP="0056161F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C94070B" w14:textId="18A526F5" w:rsidR="0056161F" w:rsidRPr="0056161F" w:rsidRDefault="0056161F" w:rsidP="0056161F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56161F" w:rsidRPr="0056161F" w14:paraId="7AF0332D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5A17D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1121A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sz w:val="18"/>
                <w:szCs w:val="18"/>
                <w:lang w:eastAsia="en-US"/>
              </w:rPr>
              <w:t>Laboratorium wirtualne z k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omputerem PC z okularami VR wraz z kontrolerami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>Interaktywnymi i monitorem dotykowym</w:t>
            </w:r>
          </w:p>
        </w:tc>
      </w:tr>
      <w:tr w:rsidR="0056161F" w:rsidRPr="0056161F" w14:paraId="7C5D262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84D57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BF685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hAnsi="Arial" w:cs="Arial"/>
                <w:sz w:val="18"/>
                <w:szCs w:val="18"/>
                <w:lang w:eastAsia="en-US"/>
              </w:rPr>
              <w:t>Edukacja chemiczna</w:t>
            </w:r>
          </w:p>
        </w:tc>
      </w:tr>
      <w:tr w:rsidR="0056161F" w:rsidRPr="0056161F" w14:paraId="1CA4EA8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D9E35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B0A6D" w14:textId="77777777" w:rsidR="0056161F" w:rsidRPr="0056161F" w:rsidRDefault="0056161F" w:rsidP="0056161F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56161F">
              <w:rPr>
                <w:rFonts w:ascii="Arial" w:hAnsi="Arial" w:cs="Arial"/>
                <w:sz w:val="18"/>
                <w:szCs w:val="18"/>
                <w:lang w:val="en-US"/>
              </w:rPr>
              <w:t>Parametry</w:t>
            </w:r>
            <w:proofErr w:type="spellEnd"/>
            <w:r w:rsidRPr="0056161F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6161F">
              <w:rPr>
                <w:rFonts w:ascii="Arial" w:hAnsi="Arial" w:cs="Arial"/>
                <w:sz w:val="18"/>
                <w:szCs w:val="18"/>
                <w:lang w:val="en-US"/>
              </w:rPr>
              <w:t>minimalne</w:t>
            </w:r>
            <w:proofErr w:type="spellEnd"/>
            <w:r w:rsidRPr="0056161F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5CCBFA1F" w14:textId="77777777" w:rsidR="0056161F" w:rsidRPr="0056161F" w:rsidRDefault="0056161F" w:rsidP="0056161F">
            <w:pPr>
              <w:numPr>
                <w:ilvl w:val="0"/>
                <w:numId w:val="84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Moduł laboratorium musi być wyposażony w dotykowy ekran, służący do obsługi przez osobę prezentującą. </w:t>
            </w:r>
          </w:p>
          <w:p w14:paraId="1847614A" w14:textId="77777777" w:rsidR="0056161F" w:rsidRPr="0056161F" w:rsidRDefault="0056161F" w:rsidP="0056161F">
            <w:pPr>
              <w:numPr>
                <w:ilvl w:val="0"/>
                <w:numId w:val="84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posiadać kółka jezdne z możliwością blokady. </w:t>
            </w:r>
          </w:p>
          <w:p w14:paraId="056C0830" w14:textId="77777777" w:rsidR="0056161F" w:rsidRPr="0056161F" w:rsidRDefault="0056161F" w:rsidP="0056161F">
            <w:pPr>
              <w:numPr>
                <w:ilvl w:val="0"/>
                <w:numId w:val="84"/>
              </w:numPr>
              <w:suppressAutoHyphens w:val="0"/>
              <w:spacing w:line="276" w:lineRule="auto"/>
              <w:contextualSpacing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Produkt musi by ć wyposażony w następujące złącza/gniazda: USB 2.0 typu A, złącznie HDMI, gniazdo AC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Specyfikacja techniczna pozostałych materialnych elementów Produktu: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>1. Komputer PC  kompatybilny z laboratorium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>2. Okulary VR wraz z kontrolerami kompatybilne z laboratorium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</w:r>
            <w:r w:rsidRPr="0056161F">
              <w:rPr>
                <w:rFonts w:ascii="Arial" w:eastAsia="Calibri" w:hAnsi="Arial" w:cs="Arial"/>
                <w:sz w:val="18"/>
                <w:szCs w:val="18"/>
                <w:u w:val="single"/>
              </w:rPr>
              <w:t>3. Interaktywny monitor dotykowy o parametrach</w:t>
            </w:r>
          </w:p>
          <w:p w14:paraId="1C82C4AC" w14:textId="77777777" w:rsidR="0056161F" w:rsidRPr="0056161F" w:rsidRDefault="0056161F" w:rsidP="0056161F">
            <w:pPr>
              <w:numPr>
                <w:ilvl w:val="0"/>
                <w:numId w:val="84"/>
              </w:numPr>
              <w:suppressAutoHyphens w:val="0"/>
              <w:spacing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Typ matrycy – LED</w:t>
            </w:r>
          </w:p>
          <w:p w14:paraId="5FBFCCE7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Przekątna - min. 55”</w:t>
            </w:r>
          </w:p>
          <w:p w14:paraId="5C24B2A0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Format obrazu – 16 : 9</w:t>
            </w:r>
          </w:p>
          <w:p w14:paraId="06E595DF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Rozdzielczość – min. UHD 3840x2160</w:t>
            </w:r>
          </w:p>
          <w:p w14:paraId="30B33526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Jasność – min. 350 cd/m</w:t>
            </w:r>
            <w:r w:rsidRPr="0056161F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2</w:t>
            </w:r>
          </w:p>
          <w:p w14:paraId="660AC1ED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Kontrast – min. 4000:1</w:t>
            </w:r>
          </w:p>
          <w:p w14:paraId="45BE9A1B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Kąt oglądalności – min. 178</w:t>
            </w:r>
            <w:r w:rsidRPr="0056161F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o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(L/P)</w:t>
            </w:r>
          </w:p>
          <w:p w14:paraId="3C2AE50F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Czas reakcji matrycy – max. 8mS</w:t>
            </w:r>
          </w:p>
          <w:p w14:paraId="54A255D4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Czas reakcji dotyku – max. 6.9 </w:t>
            </w:r>
            <w:proofErr w:type="spellStart"/>
            <w:r w:rsidRPr="0056161F">
              <w:rPr>
                <w:rFonts w:ascii="Arial" w:eastAsia="Calibri" w:hAnsi="Arial" w:cs="Arial"/>
                <w:sz w:val="18"/>
                <w:szCs w:val="18"/>
              </w:rPr>
              <w:t>mS</w:t>
            </w:r>
            <w:proofErr w:type="spellEnd"/>
          </w:p>
          <w:p w14:paraId="72C376A3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Minimalny zestaw złącz:</w:t>
            </w:r>
          </w:p>
          <w:p w14:paraId="4FAB3623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Wejścia Video: min. 3 x HDMI (min. 1 ze złącz HDMI dostępne od frontu monitora z możliwością demontażu)</w:t>
            </w:r>
          </w:p>
          <w:p w14:paraId="7648BE58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Wyjścia Video: Min. 1 x HDMI </w:t>
            </w:r>
          </w:p>
          <w:p w14:paraId="5FBB29CE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Wyjście Audio: Min. 1 x 3.5mm Mini Jack</w:t>
            </w:r>
          </w:p>
          <w:p w14:paraId="2A3FBD26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Złącze USB Typ A: Tak, min 2 szt. Do podłączenia źródła pamięci USB, </w:t>
            </w:r>
          </w:p>
          <w:p w14:paraId="6A481133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Złącze USB Typ B: Tak, min 2 szt. Jako wyjście dotyku do komputera PC</w:t>
            </w:r>
          </w:p>
          <w:p w14:paraId="69C8CCC8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Koncentrator USB: Tak, Min 1 x Wejście USB A i 1 x Wyjście USB B. </w:t>
            </w:r>
          </w:p>
          <w:p w14:paraId="57650D24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Złącza sterujące: RJ-45,</w:t>
            </w:r>
          </w:p>
          <w:p w14:paraId="5AB5FAEA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Wbudowany moduł </w:t>
            </w:r>
            <w:proofErr w:type="spellStart"/>
            <w:r w:rsidRPr="0056161F">
              <w:rPr>
                <w:rFonts w:ascii="Arial" w:eastAsia="Calibri" w:hAnsi="Arial" w:cs="Arial"/>
                <w:sz w:val="18"/>
                <w:szCs w:val="18"/>
              </w:rPr>
              <w:t>WiFi</w:t>
            </w:r>
            <w:proofErr w:type="spellEnd"/>
          </w:p>
          <w:p w14:paraId="1267BEDF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Funkcja dotyku zintegrowana z urządzeniem – </w:t>
            </w:r>
          </w:p>
          <w:p w14:paraId="31123F03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Możliwość jednoczesnego pisania przez min. 4 użytkowników jednocześni. </w:t>
            </w:r>
          </w:p>
          <w:p w14:paraId="2408334D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Moduł NFC z możliwością demontażu umożliwiający szybkie połączenie z urządzeniami mobilnymi z systemem Android. </w:t>
            </w:r>
          </w:p>
          <w:p w14:paraId="69A4E950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Możliwość pracy w pionie i w poziomie – automatyczny obrót menu monitora bez konieczności uruchamiania dodatkowych funkcji. </w:t>
            </w:r>
          </w:p>
          <w:p w14:paraId="769781D1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lastRenderedPageBreak/>
              <w:t>statyw umożliwiający bezstopniową rotację monitora o 90</w:t>
            </w:r>
            <w:r w:rsidRPr="0056161F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>0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2D5C3460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Wbudowana synchronizacja i autoryzacja LDAP.</w:t>
            </w:r>
          </w:p>
          <w:p w14:paraId="45520DAF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Obsługa rysikiem Pasywnym (pisanie) lub palcem (funkcje dotykowe).  </w:t>
            </w:r>
          </w:p>
          <w:p w14:paraId="77E3BEFF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Wbudowane głośniki min. 2 x 10W</w:t>
            </w:r>
          </w:p>
          <w:p w14:paraId="77234753" w14:textId="77777777" w:rsidR="0056161F" w:rsidRPr="0056161F" w:rsidRDefault="0056161F" w:rsidP="0056161F">
            <w:pPr>
              <w:widowControl w:val="0"/>
              <w:numPr>
                <w:ilvl w:val="0"/>
                <w:numId w:val="84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Gwarancja producenta – min. 3 lata w trybie On-Site</w:t>
            </w:r>
          </w:p>
          <w:p w14:paraId="1F7443C0" w14:textId="77777777" w:rsidR="0056161F" w:rsidRPr="0056161F" w:rsidRDefault="0056161F" w:rsidP="0056161F">
            <w:pPr>
              <w:widowControl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613210D1" w14:textId="77777777" w:rsidR="0056161F" w:rsidRPr="00D53388" w:rsidRDefault="0056161F" w:rsidP="0056161F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D5338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Zamawiający dopuszcza produkty równoważne, o nie gorszych parametrach technicznych i technologicznych opisanych przez Zamawiającego, stanowiących jednocześnie kryteria stosowane w celu oceny równoważności</w:t>
            </w:r>
          </w:p>
          <w:p w14:paraId="269F89F3" w14:textId="77777777" w:rsidR="0056161F" w:rsidRPr="0056161F" w:rsidRDefault="0056161F" w:rsidP="0056161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517BFCFA" w14:textId="77777777" w:rsidR="0056161F" w:rsidRPr="0056161F" w:rsidRDefault="0056161F" w:rsidP="0056161F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56161F" w:rsidRPr="0056161F" w14:paraId="6395D6A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5D923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Akcesoria i oprogramowanie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81857" w14:textId="77777777" w:rsidR="0056161F" w:rsidRPr="0056161F" w:rsidRDefault="0056161F" w:rsidP="0056161F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>Zestaw powinien zawierać oprócz laboratorium oprogramowanie do doświadczeń chemicznych:</w:t>
            </w:r>
          </w:p>
          <w:p w14:paraId="5F3A8890" w14:textId="77777777" w:rsidR="0056161F" w:rsidRPr="0056161F" w:rsidRDefault="0056161F" w:rsidP="0056161F">
            <w:pPr>
              <w:suppressAutoHyphens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1.Sporządzanie ciekłej mieszaniny jednorodnej oraz rozdzielanie jej na składniki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2. Badanie przewodnictwa elektrycznego metali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3. Badanie sposobów ochrony produktów stalowych przed korozją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4. Badanie składu powietrza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5. Badanie właściwości tlenku węgla(IV)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6. Otrzymywanie tlenu z manganianu(VII) potasu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7. Spalanie węgla, siarki i magnezu w tlenie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8. Otrzymywanie tlenku węgla(IV)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9. Reakcja cynku z kwasem chlorowodorowym (kwasem solnym)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10. Potwierdzenie prawa zachowania masy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11. Badanie zjawiska przewodzenia prądu elektrycznego przez roztwory wodne substancji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12. Otrzymywanie wodorotlenku sodu w reakcji sodu z wodą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13. Otrzymywanie wodorotlenku wapnia w reakcji tlenku wapnia z wodą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14. Otrzymywanie wodorotlenku miedzi(II) i wodorotlenku </w:t>
            </w:r>
            <w:proofErr w:type="spellStart"/>
            <w:r w:rsidRPr="0056161F">
              <w:rPr>
                <w:rFonts w:ascii="Arial" w:eastAsia="Calibri" w:hAnsi="Arial" w:cs="Arial"/>
                <w:sz w:val="18"/>
                <w:szCs w:val="18"/>
              </w:rPr>
              <w:t>glinu</w:t>
            </w:r>
            <w:proofErr w:type="spellEnd"/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z odpowiednich chlorków i wodorotlenku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sodu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15. Otrzymywanie kwasu chlorowodorowego przez rozpuszczenie chlorowodoru w wodzie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16. Otrzymywanie kwasu siarkowodorowego przez rozpuszczenie siarkowodoru w wodzie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17. Otrzymywanie kwasu siarkowego(IV)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18. Otrzymywanie kwasu fosforowego(V)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19. Otrzymywanie soli przez działanie kwasem na zasadę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20. Reakcje magnezu z kwasami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21. Badanie właściwości </w:t>
            </w:r>
            <w:proofErr w:type="spellStart"/>
            <w:r w:rsidRPr="0056161F">
              <w:rPr>
                <w:rFonts w:ascii="Arial" w:eastAsia="Calibri" w:hAnsi="Arial" w:cs="Arial"/>
                <w:sz w:val="18"/>
                <w:szCs w:val="18"/>
              </w:rPr>
              <w:t>etynu</w:t>
            </w:r>
            <w:proofErr w:type="spellEnd"/>
            <w:r w:rsidRPr="0056161F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22. Reakcja kwasu etanowego z magnezem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23. Reakcja kwasu etanowego z tlenkiem miedzi(II)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24. Reakcja wyższych kwasów karboksylowych z wodą bromową lub roztworem manganianu(VII) potasu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 xml:space="preserve">25. Wykrywanie białek </w:t>
            </w:r>
            <w:r w:rsidRPr="0056161F">
              <w:rPr>
                <w:rFonts w:ascii="Arial" w:eastAsia="Calibri" w:hAnsi="Arial" w:cs="Arial"/>
                <w:sz w:val="18"/>
                <w:szCs w:val="18"/>
              </w:rPr>
              <w:br/>
              <w:t>26. Badanie właściwości białek</w:t>
            </w:r>
          </w:p>
        </w:tc>
      </w:tr>
      <w:tr w:rsidR="0056161F" w:rsidRPr="0056161F" w14:paraId="44A413C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986F0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A61BB" w14:textId="77777777" w:rsidR="0056161F" w:rsidRPr="0056161F" w:rsidRDefault="0056161F" w:rsidP="0056161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56161F" w:rsidRPr="0056161F" w14:paraId="5748E32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7B91E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5AF75" w14:textId="77777777" w:rsidR="0056161F" w:rsidRPr="0056161F" w:rsidRDefault="0056161F" w:rsidP="0056161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56161F" w:rsidRPr="0056161F" w14:paraId="0AC1515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E8212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0A389" w14:textId="6E81E3DD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56161F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05EA50C" w14:textId="77777777" w:rsidR="0056161F" w:rsidRPr="0056161F" w:rsidRDefault="0056161F" w:rsidP="0056161F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9EE94E1" w14:textId="77777777" w:rsidR="0056161F" w:rsidRPr="0056161F" w:rsidRDefault="0056161F" w:rsidP="0056161F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0D23536" w14:textId="77777777" w:rsidR="0056161F" w:rsidRPr="0056161F" w:rsidRDefault="0056161F" w:rsidP="0056161F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3B50184F" w14:textId="77777777" w:rsidR="0056161F" w:rsidRPr="0056161F" w:rsidRDefault="0056161F" w:rsidP="0056161F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56161F" w:rsidRPr="0056161F" w14:paraId="48F4F77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92FE6" w14:textId="77777777" w:rsidR="0056161F" w:rsidRPr="0056161F" w:rsidRDefault="0056161F" w:rsidP="0056161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F491F" w14:textId="5A150D19" w:rsidR="0056161F" w:rsidRPr="0056161F" w:rsidRDefault="0056161F" w:rsidP="0056161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56161F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i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1572F9C3" w14:textId="76E4685B" w:rsidR="0056161F" w:rsidRPr="0056161F" w:rsidRDefault="0056161F" w:rsidP="0056161F">
      <w:pPr>
        <w:pStyle w:val="Akapitzlist"/>
        <w:suppressAutoHyphens w:val="0"/>
        <w:ind w:left="284"/>
        <w:rPr>
          <w:rFonts w:ascii="Arial" w:hAnsi="Arial" w:cs="Arial"/>
          <w:sz w:val="18"/>
          <w:szCs w:val="18"/>
        </w:rPr>
      </w:pPr>
    </w:p>
    <w:p w14:paraId="71E1D9F0" w14:textId="77777777" w:rsidR="0056161F" w:rsidRPr="00A01A7E" w:rsidRDefault="0056161F" w:rsidP="0056161F">
      <w:pPr>
        <w:pStyle w:val="Akapitzlist"/>
        <w:suppressAutoHyphens w:val="0"/>
        <w:ind w:left="284"/>
        <w:rPr>
          <w:rFonts w:ascii="Arial" w:hAnsi="Arial" w:cs="Arial"/>
          <w:sz w:val="18"/>
          <w:szCs w:val="18"/>
        </w:rPr>
      </w:pPr>
    </w:p>
    <w:sectPr w:rsidR="0056161F" w:rsidRPr="00A01A7E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B2373" w14:textId="77777777" w:rsidR="0001124F" w:rsidRDefault="0001124F">
      <w:r>
        <w:separator/>
      </w:r>
    </w:p>
  </w:endnote>
  <w:endnote w:type="continuationSeparator" w:id="0">
    <w:p w14:paraId="2B27DF5B" w14:textId="77777777" w:rsidR="0001124F" w:rsidRDefault="0001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  <w:vertAlign w:val="superscript"/>
      </w:rPr>
      <w:id w:val="10054007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524340" w14:textId="09F0DC86" w:rsidR="00532EEB" w:rsidRPr="00532EEB" w:rsidRDefault="00532EEB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532EE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7C45A4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532EE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7C45A4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532EE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14:paraId="0DEB5F33" w14:textId="77777777" w:rsidR="008A3CDA" w:rsidRDefault="008A3CD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07887" w14:textId="77777777" w:rsidR="0001124F" w:rsidRDefault="0001124F">
      <w:r>
        <w:separator/>
      </w:r>
    </w:p>
  </w:footnote>
  <w:footnote w:type="continuationSeparator" w:id="0">
    <w:p w14:paraId="774013CF" w14:textId="77777777" w:rsidR="0001124F" w:rsidRDefault="00011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E71A7" w14:textId="77777777" w:rsidR="00D176BF" w:rsidRPr="00F51B44" w:rsidRDefault="00D176BF" w:rsidP="00D176BF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505C6617" w14:textId="77777777" w:rsidR="00D176BF" w:rsidRDefault="00D176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CC4DF0"/>
    <w:multiLevelType w:val="hybridMultilevel"/>
    <w:tmpl w:val="E5800FCC"/>
    <w:lvl w:ilvl="0" w:tplc="6958DA4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10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5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9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0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594C77F5"/>
    <w:multiLevelType w:val="hybridMultilevel"/>
    <w:tmpl w:val="7F148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1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2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4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5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8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9" w15:restartNumberingAfterBreak="0">
    <w:nsid w:val="65F65BC1"/>
    <w:multiLevelType w:val="hybridMultilevel"/>
    <w:tmpl w:val="31804CA8"/>
    <w:lvl w:ilvl="0" w:tplc="8794AC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1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2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4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7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8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1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3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5" w15:restartNumberingAfterBreak="0">
    <w:nsid w:val="75E10E75"/>
    <w:multiLevelType w:val="hybridMultilevel"/>
    <w:tmpl w:val="0CDCBC94"/>
    <w:lvl w:ilvl="0" w:tplc="91027E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1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2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3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6"/>
  </w:num>
  <w:num w:numId="2">
    <w:abstractNumId w:val="57"/>
  </w:num>
  <w:num w:numId="3">
    <w:abstractNumId w:val="37"/>
  </w:num>
  <w:num w:numId="4">
    <w:abstractNumId w:val="20"/>
  </w:num>
  <w:num w:numId="5">
    <w:abstractNumId w:val="62"/>
  </w:num>
  <w:num w:numId="6">
    <w:abstractNumId w:val="32"/>
  </w:num>
  <w:num w:numId="7">
    <w:abstractNumId w:val="0"/>
  </w:num>
  <w:num w:numId="8">
    <w:abstractNumId w:val="9"/>
  </w:num>
  <w:num w:numId="9">
    <w:abstractNumId w:val="41"/>
  </w:num>
  <w:num w:numId="10">
    <w:abstractNumId w:val="58"/>
  </w:num>
  <w:num w:numId="11">
    <w:abstractNumId w:val="44"/>
  </w:num>
  <w:num w:numId="12">
    <w:abstractNumId w:val="34"/>
  </w:num>
  <w:num w:numId="13">
    <w:abstractNumId w:val="40"/>
  </w:num>
  <w:num w:numId="14">
    <w:abstractNumId w:val="53"/>
  </w:num>
  <w:num w:numId="15">
    <w:abstractNumId w:val="43"/>
  </w:num>
  <w:num w:numId="16">
    <w:abstractNumId w:val="67"/>
  </w:num>
  <w:num w:numId="17">
    <w:abstractNumId w:val="38"/>
  </w:num>
  <w:num w:numId="18">
    <w:abstractNumId w:val="18"/>
  </w:num>
  <w:num w:numId="19">
    <w:abstractNumId w:val="71"/>
  </w:num>
  <w:num w:numId="20">
    <w:abstractNumId w:val="8"/>
  </w:num>
  <w:num w:numId="21">
    <w:abstractNumId w:val="21"/>
  </w:num>
  <w:num w:numId="22">
    <w:abstractNumId w:val="82"/>
  </w:num>
  <w:num w:numId="23">
    <w:abstractNumId w:val="80"/>
  </w:num>
  <w:num w:numId="24">
    <w:abstractNumId w:val="74"/>
  </w:num>
  <w:num w:numId="25">
    <w:abstractNumId w:val="42"/>
  </w:num>
  <w:num w:numId="26">
    <w:abstractNumId w:val="48"/>
  </w:num>
  <w:num w:numId="27">
    <w:abstractNumId w:val="3"/>
  </w:num>
  <w:num w:numId="28">
    <w:abstractNumId w:val="25"/>
  </w:num>
  <w:num w:numId="29">
    <w:abstractNumId w:val="4"/>
  </w:num>
  <w:num w:numId="30">
    <w:abstractNumId w:val="64"/>
  </w:num>
  <w:num w:numId="31">
    <w:abstractNumId w:val="5"/>
  </w:num>
  <w:num w:numId="32">
    <w:abstractNumId w:val="73"/>
  </w:num>
  <w:num w:numId="33">
    <w:abstractNumId w:val="15"/>
  </w:num>
  <w:num w:numId="34">
    <w:abstractNumId w:val="2"/>
  </w:num>
  <w:num w:numId="35">
    <w:abstractNumId w:val="12"/>
  </w:num>
  <w:num w:numId="36">
    <w:abstractNumId w:val="29"/>
  </w:num>
  <w:num w:numId="37">
    <w:abstractNumId w:val="52"/>
  </w:num>
  <w:num w:numId="38">
    <w:abstractNumId w:val="78"/>
  </w:num>
  <w:num w:numId="39">
    <w:abstractNumId w:val="46"/>
  </w:num>
  <w:num w:numId="40">
    <w:abstractNumId w:val="79"/>
  </w:num>
  <w:num w:numId="41">
    <w:abstractNumId w:val="33"/>
  </w:num>
  <w:num w:numId="42">
    <w:abstractNumId w:val="13"/>
  </w:num>
  <w:num w:numId="43">
    <w:abstractNumId w:val="70"/>
  </w:num>
  <w:num w:numId="44">
    <w:abstractNumId w:val="24"/>
  </w:num>
  <w:num w:numId="45">
    <w:abstractNumId w:val="28"/>
  </w:num>
  <w:num w:numId="46">
    <w:abstractNumId w:val="36"/>
  </w:num>
  <w:num w:numId="47">
    <w:abstractNumId w:val="72"/>
  </w:num>
  <w:num w:numId="48">
    <w:abstractNumId w:val="51"/>
  </w:num>
  <w:num w:numId="49">
    <w:abstractNumId w:val="19"/>
  </w:num>
  <w:num w:numId="50">
    <w:abstractNumId w:val="47"/>
  </w:num>
  <w:num w:numId="51">
    <w:abstractNumId w:val="16"/>
  </w:num>
  <w:num w:numId="52">
    <w:abstractNumId w:val="65"/>
  </w:num>
  <w:num w:numId="53">
    <w:abstractNumId w:val="14"/>
  </w:num>
  <w:num w:numId="54">
    <w:abstractNumId w:val="56"/>
  </w:num>
  <w:num w:numId="55">
    <w:abstractNumId w:val="76"/>
  </w:num>
  <w:num w:numId="56">
    <w:abstractNumId w:val="11"/>
  </w:num>
  <w:num w:numId="57">
    <w:abstractNumId w:val="17"/>
  </w:num>
  <w:num w:numId="58">
    <w:abstractNumId w:val="60"/>
  </w:num>
  <w:num w:numId="59">
    <w:abstractNumId w:val="23"/>
  </w:num>
  <w:num w:numId="60">
    <w:abstractNumId w:val="77"/>
  </w:num>
  <w:num w:numId="61">
    <w:abstractNumId w:val="55"/>
  </w:num>
  <w:num w:numId="62">
    <w:abstractNumId w:val="10"/>
  </w:num>
  <w:num w:numId="63">
    <w:abstractNumId w:val="6"/>
  </w:num>
  <w:num w:numId="64">
    <w:abstractNumId w:val="35"/>
  </w:num>
  <w:num w:numId="65">
    <w:abstractNumId w:val="61"/>
  </w:num>
  <w:num w:numId="66">
    <w:abstractNumId w:val="30"/>
  </w:num>
  <w:num w:numId="67">
    <w:abstractNumId w:val="54"/>
  </w:num>
  <w:num w:numId="68">
    <w:abstractNumId w:val="63"/>
  </w:num>
  <w:num w:numId="69">
    <w:abstractNumId w:val="83"/>
  </w:num>
  <w:num w:numId="70">
    <w:abstractNumId w:val="45"/>
  </w:num>
  <w:num w:numId="71">
    <w:abstractNumId w:val="39"/>
  </w:num>
  <w:num w:numId="72">
    <w:abstractNumId w:val="27"/>
  </w:num>
  <w:num w:numId="73">
    <w:abstractNumId w:val="81"/>
  </w:num>
  <w:num w:numId="74">
    <w:abstractNumId w:val="7"/>
  </w:num>
  <w:num w:numId="75">
    <w:abstractNumId w:val="26"/>
  </w:num>
  <w:num w:numId="76">
    <w:abstractNumId w:val="68"/>
  </w:num>
  <w:num w:numId="77">
    <w:abstractNumId w:val="69"/>
  </w:num>
  <w:num w:numId="78">
    <w:abstractNumId w:val="50"/>
  </w:num>
  <w:num w:numId="79">
    <w:abstractNumId w:val="31"/>
  </w:num>
  <w:num w:numId="80">
    <w:abstractNumId w:val="22"/>
  </w:num>
  <w:num w:numId="81">
    <w:abstractNumId w:val="1"/>
  </w:num>
  <w:num w:numId="82">
    <w:abstractNumId w:val="59"/>
  </w:num>
  <w:num w:numId="83">
    <w:abstractNumId w:val="75"/>
  </w:num>
  <w:num w:numId="84">
    <w:abstractNumId w:val="49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CA9"/>
    <w:rsid w:val="0001124F"/>
    <w:rsid w:val="00066F22"/>
    <w:rsid w:val="000E116F"/>
    <w:rsid w:val="001002F6"/>
    <w:rsid w:val="00170080"/>
    <w:rsid w:val="001C175A"/>
    <w:rsid w:val="00213973"/>
    <w:rsid w:val="00304BE3"/>
    <w:rsid w:val="0037080F"/>
    <w:rsid w:val="003A591C"/>
    <w:rsid w:val="00404E37"/>
    <w:rsid w:val="004652D8"/>
    <w:rsid w:val="00532EEB"/>
    <w:rsid w:val="0056161F"/>
    <w:rsid w:val="00595B7E"/>
    <w:rsid w:val="005A2033"/>
    <w:rsid w:val="00616651"/>
    <w:rsid w:val="00630D9C"/>
    <w:rsid w:val="0064320C"/>
    <w:rsid w:val="006726E3"/>
    <w:rsid w:val="00676574"/>
    <w:rsid w:val="006960B9"/>
    <w:rsid w:val="00710ADA"/>
    <w:rsid w:val="0072034D"/>
    <w:rsid w:val="007216A3"/>
    <w:rsid w:val="0076315C"/>
    <w:rsid w:val="007C45A4"/>
    <w:rsid w:val="007D293A"/>
    <w:rsid w:val="00827B98"/>
    <w:rsid w:val="00861380"/>
    <w:rsid w:val="00861F07"/>
    <w:rsid w:val="00867220"/>
    <w:rsid w:val="00877CA9"/>
    <w:rsid w:val="008A3CDA"/>
    <w:rsid w:val="008F2B3B"/>
    <w:rsid w:val="00946852"/>
    <w:rsid w:val="00955768"/>
    <w:rsid w:val="00A01A7E"/>
    <w:rsid w:val="00A41244"/>
    <w:rsid w:val="00A62ECC"/>
    <w:rsid w:val="00AC0B8E"/>
    <w:rsid w:val="00AE12C6"/>
    <w:rsid w:val="00B26FDE"/>
    <w:rsid w:val="00B674B5"/>
    <w:rsid w:val="00B71C06"/>
    <w:rsid w:val="00B82D75"/>
    <w:rsid w:val="00B878AD"/>
    <w:rsid w:val="00BB18F7"/>
    <w:rsid w:val="00BB4177"/>
    <w:rsid w:val="00BF2F3E"/>
    <w:rsid w:val="00BF7950"/>
    <w:rsid w:val="00C33492"/>
    <w:rsid w:val="00C85FD8"/>
    <w:rsid w:val="00D1653F"/>
    <w:rsid w:val="00D176BF"/>
    <w:rsid w:val="00D53388"/>
    <w:rsid w:val="00D768CC"/>
    <w:rsid w:val="00D850A3"/>
    <w:rsid w:val="00E513E5"/>
    <w:rsid w:val="00E828E0"/>
    <w:rsid w:val="00F37333"/>
    <w:rsid w:val="00F6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6AFD"/>
  <w15:docId w15:val="{F1162C47-99F1-4400-B7B2-6023C725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FC38-BA3A-4D85-8AF4-1C59251A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6</cp:revision>
  <cp:lastPrinted>2021-11-26T14:37:00Z</cp:lastPrinted>
  <dcterms:created xsi:type="dcterms:W3CDTF">2021-11-27T06:51:00Z</dcterms:created>
  <dcterms:modified xsi:type="dcterms:W3CDTF">2021-11-29T20:49:00Z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